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Visuals in the Grad Project Research Paper</w:t>
      </w:r>
    </w:p>
    <w:p w:rsidR="00000000" w:rsidDel="00000000" w:rsidP="00000000" w:rsidRDefault="00000000" w:rsidRPr="00000000" w14:paraId="00000001">
      <w:pPr>
        <w:contextualSpacing w:val="0"/>
        <w:rPr>
          <w:b w:val="1"/>
        </w:rPr>
      </w:pPr>
      <w:r w:rsidDel="00000000" w:rsidR="00000000" w:rsidRPr="00000000">
        <w:rPr>
          <w:b w:val="1"/>
          <w:rtl w:val="0"/>
        </w:rPr>
        <w:t xml:space="preserve">Reminders—</w:t>
      </w:r>
    </w:p>
    <w:p w:rsidR="00000000" w:rsidDel="00000000" w:rsidP="00000000" w:rsidRDefault="00000000" w:rsidRPr="00000000" w14:paraId="00000002">
      <w:pPr>
        <w:contextualSpacing w:val="0"/>
        <w:rPr/>
      </w:pPr>
      <w:r w:rsidDel="00000000" w:rsidR="00000000" w:rsidRPr="00000000">
        <w:rPr>
          <w:rtl w:val="0"/>
        </w:rPr>
        <w:t xml:space="preserve">The visual must be student-generated.  It must be created by the student.  </w:t>
      </w:r>
    </w:p>
    <w:p w:rsidR="00000000" w:rsidDel="00000000" w:rsidP="00000000" w:rsidRDefault="00000000" w:rsidRPr="00000000" w14:paraId="00000003">
      <w:pPr>
        <w:contextualSpacing w:val="0"/>
        <w:rPr/>
      </w:pPr>
      <w:r w:rsidDel="00000000" w:rsidR="00000000" w:rsidRPr="00000000">
        <w:rPr>
          <w:rtl w:val="0"/>
        </w:rPr>
        <w:t xml:space="preserve">The visual component must be incorporated into the paper; it cannot be attached at the end of the paper.</w:t>
      </w:r>
    </w:p>
    <w:p w:rsidR="00000000" w:rsidDel="00000000" w:rsidP="00000000" w:rsidRDefault="00000000" w:rsidRPr="00000000" w14:paraId="00000004">
      <w:pPr>
        <w:contextualSpacing w:val="0"/>
        <w:rPr/>
      </w:pPr>
      <w:r w:rsidDel="00000000" w:rsidR="00000000" w:rsidRPr="00000000">
        <w:rPr>
          <w:rtl w:val="0"/>
        </w:rPr>
        <w:t xml:space="preserve">You will include a written explanation of the visual </w:t>
      </w:r>
      <w:r w:rsidDel="00000000" w:rsidR="00000000" w:rsidRPr="00000000">
        <w:rPr>
          <w:u w:val="single"/>
          <w:rtl w:val="0"/>
        </w:rPr>
        <w:t xml:space="preserve">with MLA</w:t>
      </w:r>
      <w:r w:rsidDel="00000000" w:rsidR="00000000" w:rsidRPr="00000000">
        <w:rPr>
          <w:rtl w:val="0"/>
        </w:rPr>
        <w:t xml:space="preserve"> immediately before or after the visual.  (“The following graph shows…” / “The graph below shows…”)</w:t>
      </w:r>
    </w:p>
    <w:p w:rsidR="00000000" w:rsidDel="00000000" w:rsidP="00000000" w:rsidRDefault="00000000" w:rsidRPr="00000000" w14:paraId="00000005">
      <w:pPr>
        <w:contextualSpacing w:val="0"/>
        <w:rPr/>
      </w:pPr>
      <w:r w:rsidDel="00000000" w:rsidR="00000000" w:rsidRPr="00000000">
        <w:rPr>
          <w:rtl w:val="0"/>
        </w:rPr>
        <w:t xml:space="preserve">The visual component does not count as part of the 6-8 page length.</w:t>
      </w:r>
    </w:p>
    <w:p w:rsidR="00000000" w:rsidDel="00000000" w:rsidP="00000000" w:rsidRDefault="00000000" w:rsidRPr="00000000" w14:paraId="00000006">
      <w:pPr>
        <w:contextualSpacing w:val="0"/>
        <w:rPr/>
      </w:pPr>
      <w:r w:rsidDel="00000000" w:rsidR="00000000" w:rsidRPr="00000000">
        <w:rPr>
          <w:rtl w:val="0"/>
        </w:rPr>
        <w:t xml:space="preserve">Bullet points are not considered a visual component.</w:t>
      </w:r>
    </w:p>
    <w:p w:rsidR="00000000" w:rsidDel="00000000" w:rsidP="00000000" w:rsidRDefault="00000000" w:rsidRPr="00000000" w14:paraId="00000007">
      <w:pPr>
        <w:contextualSpacing w:val="0"/>
        <w:rPr/>
      </w:pPr>
      <w:r w:rsidDel="00000000" w:rsidR="00000000" w:rsidRPr="00000000">
        <w:rPr>
          <w:rtl w:val="0"/>
        </w:rPr>
        <w:t xml:space="preserve">The visual component can be any visual that conveys data.  Most students use tables, graphs, pie charts, and bar charts.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Sources for creating your visual component—</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It will be easiest for you to just insert a chart in your google doc. </w:t>
      </w:r>
    </w:p>
    <w:p w:rsidR="00000000" w:rsidDel="00000000" w:rsidP="00000000" w:rsidRDefault="00000000" w:rsidRPr="00000000" w14:paraId="0000000B">
      <w:pPr>
        <w:contextualSpacing w:val="0"/>
        <w:rPr/>
      </w:pPr>
      <w:r w:rsidDel="00000000" w:rsidR="00000000" w:rsidRPr="00000000">
        <w:rPr>
          <w:rtl w:val="0"/>
        </w:rPr>
        <w:tab/>
        <w:t xml:space="preserve">When you’re ready to complete the graph, click</w:t>
      </w:r>
      <w:r w:rsidDel="00000000" w:rsidR="00000000" w:rsidRPr="00000000">
        <w:rPr>
          <w:i w:val="1"/>
          <w:rtl w:val="0"/>
        </w:rPr>
        <w:t xml:space="preserve"> insert</w:t>
      </w:r>
      <w:r w:rsidDel="00000000" w:rsidR="00000000" w:rsidRPr="00000000">
        <w:rPr>
          <w:rtl w:val="0"/>
        </w:rPr>
        <w:t xml:space="preserve">.</w:t>
      </w:r>
    </w:p>
    <w:p w:rsidR="00000000" w:rsidDel="00000000" w:rsidP="00000000" w:rsidRDefault="00000000" w:rsidRPr="00000000" w14:paraId="0000000C">
      <w:pPr>
        <w:contextualSpacing w:val="0"/>
        <w:rPr/>
      </w:pPr>
      <w:r w:rsidDel="00000000" w:rsidR="00000000" w:rsidRPr="00000000">
        <w:rPr>
          <w:rtl w:val="0"/>
        </w:rPr>
        <w:tab/>
        <w:t xml:space="preserve">Choose </w:t>
      </w:r>
      <w:r w:rsidDel="00000000" w:rsidR="00000000" w:rsidRPr="00000000">
        <w:rPr>
          <w:i w:val="1"/>
          <w:rtl w:val="0"/>
        </w:rPr>
        <w:t xml:space="preserve">Chart</w:t>
      </w:r>
      <w:r w:rsidDel="00000000" w:rsidR="00000000" w:rsidRPr="00000000">
        <w:rPr>
          <w:rtl w:val="0"/>
        </w:rPr>
        <w:t xml:space="preserve">.</w:t>
      </w:r>
    </w:p>
    <w:p w:rsidR="00000000" w:rsidDel="00000000" w:rsidP="00000000" w:rsidRDefault="00000000" w:rsidRPr="00000000" w14:paraId="0000000D">
      <w:pPr>
        <w:contextualSpacing w:val="0"/>
        <w:rPr/>
      </w:pPr>
      <w:r w:rsidDel="00000000" w:rsidR="00000000" w:rsidRPr="00000000">
        <w:rPr>
          <w:rtl w:val="0"/>
        </w:rPr>
        <w:tab/>
        <w:t xml:space="preserve">Choose type of chart.</w:t>
      </w:r>
    </w:p>
    <w:p w:rsidR="00000000" w:rsidDel="00000000" w:rsidP="00000000" w:rsidRDefault="00000000" w:rsidRPr="00000000" w14:paraId="0000000E">
      <w:pPr>
        <w:contextualSpacing w:val="0"/>
        <w:rPr/>
      </w:pPr>
      <w:r w:rsidDel="00000000" w:rsidR="00000000" w:rsidRPr="00000000">
        <w:rPr>
          <w:rtl w:val="0"/>
        </w:rPr>
        <w:tab/>
        <w:t xml:space="preserve">Edit in sheets (If you go to </w:t>
      </w:r>
      <w:r w:rsidDel="00000000" w:rsidR="00000000" w:rsidRPr="00000000">
        <w:rPr>
          <w:i w:val="1"/>
          <w:rtl w:val="0"/>
        </w:rPr>
        <w:t xml:space="preserve">Recent </w:t>
      </w:r>
      <w:r w:rsidDel="00000000" w:rsidR="00000000" w:rsidRPr="00000000">
        <w:rPr>
          <w:rtl w:val="0"/>
        </w:rPr>
        <w:t xml:space="preserve">on your Drive, you will see the sheet there.)</w:t>
      </w:r>
    </w:p>
    <w:p w:rsidR="00000000" w:rsidDel="00000000" w:rsidP="00000000" w:rsidRDefault="00000000" w:rsidRPr="00000000" w14:paraId="0000000F">
      <w:pPr>
        <w:contextualSpacing w:val="0"/>
        <w:rPr/>
      </w:pPr>
      <w:r w:rsidDel="00000000" w:rsidR="00000000" w:rsidRPr="00000000">
        <w:rPr>
          <w:rtl w:val="0"/>
        </w:rPr>
        <w:tab/>
        <w:t xml:space="preserve">Go back to your paper doc and click </w:t>
      </w:r>
      <w:r w:rsidDel="00000000" w:rsidR="00000000" w:rsidRPr="00000000">
        <w:rPr>
          <w:i w:val="1"/>
          <w:rtl w:val="0"/>
        </w:rPr>
        <w:t xml:space="preserve">update</w:t>
      </w:r>
      <w:r w:rsidDel="00000000" w:rsidR="00000000" w:rsidRPr="00000000">
        <w:rPr>
          <w:rtl w:val="0"/>
        </w:rPr>
        <w:t xml:space="preserve">.</w:t>
      </w:r>
    </w:p>
    <w:p w:rsidR="00000000" w:rsidDel="00000000" w:rsidP="00000000" w:rsidRDefault="00000000" w:rsidRPr="00000000" w14:paraId="00000010">
      <w:pPr>
        <w:numPr>
          <w:ilvl w:val="0"/>
          <w:numId w:val="1"/>
        </w:numPr>
        <w:ind w:left="720" w:hanging="360"/>
        <w:contextualSpacing w:val="1"/>
        <w:rPr>
          <w:u w:val="none"/>
        </w:rPr>
      </w:pPr>
      <w:r w:rsidDel="00000000" w:rsidR="00000000" w:rsidRPr="00000000">
        <w:rPr>
          <w:rtl w:val="0"/>
        </w:rPr>
        <w:t xml:space="preserve">Here are some other options if you need them:</w:t>
      </w:r>
    </w:p>
    <w:p w:rsidR="00000000" w:rsidDel="00000000" w:rsidP="00000000" w:rsidRDefault="00000000" w:rsidRPr="00000000" w14:paraId="00000011">
      <w:pPr>
        <w:ind w:left="720" w:firstLine="720"/>
        <w:contextualSpacing w:val="0"/>
        <w:rPr/>
      </w:pPr>
      <w:r w:rsidDel="00000000" w:rsidR="00000000" w:rsidRPr="00000000">
        <w:rPr>
          <w:rtl w:val="0"/>
        </w:rPr>
        <w:t xml:space="preserve">nces.ed.gov/nceskids/createagraph</w:t>
      </w:r>
    </w:p>
    <w:p w:rsidR="00000000" w:rsidDel="00000000" w:rsidP="00000000" w:rsidRDefault="00000000" w:rsidRPr="00000000" w14:paraId="00000012">
      <w:pPr>
        <w:ind w:left="720" w:firstLine="720"/>
        <w:contextualSpacing w:val="0"/>
        <w:rPr/>
      </w:pPr>
      <w:r w:rsidDel="00000000" w:rsidR="00000000" w:rsidRPr="00000000">
        <w:rPr>
          <w:rtl w:val="0"/>
        </w:rPr>
        <w:t xml:space="preserve">www.onlinecharttool.com</w:t>
      </w:r>
    </w:p>
    <w:p w:rsidR="00000000" w:rsidDel="00000000" w:rsidP="00000000" w:rsidRDefault="00000000" w:rsidRPr="00000000" w14:paraId="00000013">
      <w:pPr>
        <w:contextualSpacing w:val="0"/>
        <w:rPr/>
      </w:pPr>
      <w:bookmarkStart w:colFirst="0" w:colLast="0" w:name="_gjdgxs" w:id="0"/>
      <w:bookmarkEnd w:id="0"/>
      <w:r w:rsidDel="00000000" w:rsidR="00000000" w:rsidRPr="00000000">
        <w:rPr>
          <w:b w:val="1"/>
          <w:rtl w:val="0"/>
        </w:rPr>
        <w:t xml:space="preserve">Example—</w:t>
      </w:r>
      <w:r w:rsidDel="00000000" w:rsidR="00000000" w:rsidRPr="00000000">
        <w:rPr>
          <w:rtl w:val="0"/>
        </w:rPr>
      </w:r>
    </w:p>
    <w:p w:rsidR="00000000" w:rsidDel="00000000" w:rsidP="00000000" w:rsidRDefault="00000000" w:rsidRPr="00000000" w14:paraId="00000014">
      <w:pPr>
        <w:pStyle w:val="Heading1"/>
        <w:shd w:fill="ffffff" w:val="clear"/>
        <w:spacing w:after="75" w:before="75" w:line="480" w:lineRule="auto"/>
        <w:contextualSpacing w:val="0"/>
        <w:rPr>
          <w:rFonts w:ascii="Calibri" w:cs="Calibri" w:eastAsia="Calibri" w:hAnsi="Calibri"/>
          <w:color w:val="000000"/>
          <w:sz w:val="22"/>
          <w:szCs w:val="22"/>
        </w:rPr>
      </w:pPr>
      <w:r w:rsidDel="00000000" w:rsidR="00000000" w:rsidRPr="00000000">
        <w:rPr>
          <w:rtl w:val="0"/>
        </w:rPr>
        <w:tab/>
      </w:r>
      <w:r w:rsidDel="00000000" w:rsidR="00000000" w:rsidRPr="00000000">
        <w:rPr>
          <w:rFonts w:ascii="Calibri" w:cs="Calibri" w:eastAsia="Calibri" w:hAnsi="Calibri"/>
          <w:color w:val="000000"/>
          <w:sz w:val="22"/>
          <w:szCs w:val="22"/>
          <w:rtl w:val="0"/>
        </w:rPr>
        <w:t xml:space="preserve">In 1972, the Surgeon General released a landmark report, The Health Consequences of Smoking, warning of the danger of smoking.  The report also warned of the risks of breathing secondhand smoke, also called “environmental tobacco smoke” (“The Health Consequences of Smoking—50 Years of Progress: A Report of the Surgeon General, 2014”). And yet, years later, many people do not believe that second-hand smoke is a serious concern.  Table 1 below shows the results of a survey of 100 people. Of those surveyed, only a small percentage of people classified their concern about second-hand smoke as “seriously” concerned (Jones).</w:t>
      </w:r>
    </w:p>
    <w:p w:rsidR="00000000" w:rsidDel="00000000" w:rsidP="00000000" w:rsidRDefault="00000000" w:rsidRPr="00000000" w14:paraId="00000015">
      <w:pPr>
        <w:contextualSpacing w:val="0"/>
        <w:rPr/>
      </w:pPr>
      <w:r w:rsidDel="00000000" w:rsidR="00000000" w:rsidRPr="00000000">
        <w:rPr>
          <w:rtl w:val="0"/>
        </w:rPr>
        <w:t xml:space="preserve">Table 1</w:t>
      </w:r>
    </w:p>
    <w:p w:rsidR="00000000" w:rsidDel="00000000" w:rsidP="00000000" w:rsidRDefault="00000000" w:rsidRPr="00000000" w14:paraId="00000016">
      <w:pPr>
        <w:contextualSpacing w:val="0"/>
        <w:rPr/>
      </w:pPr>
      <w:r w:rsidDel="00000000" w:rsidR="00000000" w:rsidRPr="00000000">
        <w:rPr>
          <w:rtl w:val="0"/>
        </w:rPr>
        <w:t xml:space="preserve">Responses of 100 adults who were asked, “How concerned are you about second-hand smoke?”</w:t>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2158"/>
        <w:gridCol w:w="2158"/>
        <w:gridCol w:w="2158"/>
        <w:tblGridChange w:id="0">
          <w:tblGrid>
            <w:gridCol w:w="2158"/>
            <w:gridCol w:w="2158"/>
            <w:gridCol w:w="2158"/>
            <w:gridCol w:w="2158"/>
            <w:gridCol w:w="2158"/>
          </w:tblGrid>
        </w:tblGridChange>
      </w:tblGrid>
      <w:tr>
        <w:tc>
          <w:tcPr/>
          <w:p w:rsidR="00000000" w:rsidDel="00000000" w:rsidP="00000000" w:rsidRDefault="00000000" w:rsidRPr="00000000" w14:paraId="00000017">
            <w:pPr>
              <w:contextualSpacing w:val="0"/>
              <w:jc w:val="center"/>
              <w:rPr>
                <w:color w:val="000000"/>
              </w:rPr>
            </w:pPr>
            <w:r w:rsidDel="00000000" w:rsidR="00000000" w:rsidRPr="00000000">
              <w:rPr>
                <w:color w:val="000000"/>
                <w:rtl w:val="0"/>
              </w:rPr>
              <w:t xml:space="preserve">Not at all</w:t>
            </w:r>
          </w:p>
        </w:tc>
        <w:tc>
          <w:tcPr/>
          <w:p w:rsidR="00000000" w:rsidDel="00000000" w:rsidP="00000000" w:rsidRDefault="00000000" w:rsidRPr="00000000" w14:paraId="00000018">
            <w:pPr>
              <w:contextualSpacing w:val="0"/>
              <w:jc w:val="center"/>
              <w:rPr>
                <w:color w:val="000000"/>
              </w:rPr>
            </w:pPr>
            <w:r w:rsidDel="00000000" w:rsidR="00000000" w:rsidRPr="00000000">
              <w:rPr>
                <w:color w:val="000000"/>
                <w:rtl w:val="0"/>
              </w:rPr>
              <w:t xml:space="preserve">Slightly</w:t>
            </w:r>
          </w:p>
        </w:tc>
        <w:tc>
          <w:tcPr/>
          <w:p w:rsidR="00000000" w:rsidDel="00000000" w:rsidP="00000000" w:rsidRDefault="00000000" w:rsidRPr="00000000" w14:paraId="00000019">
            <w:pPr>
              <w:contextualSpacing w:val="0"/>
              <w:jc w:val="center"/>
              <w:rPr>
                <w:color w:val="000000"/>
              </w:rPr>
            </w:pPr>
            <w:r w:rsidDel="00000000" w:rsidR="00000000" w:rsidRPr="00000000">
              <w:rPr>
                <w:color w:val="000000"/>
                <w:rtl w:val="0"/>
              </w:rPr>
              <w:t xml:space="preserve">Somewhat</w:t>
            </w:r>
          </w:p>
        </w:tc>
        <w:tc>
          <w:tcPr/>
          <w:p w:rsidR="00000000" w:rsidDel="00000000" w:rsidP="00000000" w:rsidRDefault="00000000" w:rsidRPr="00000000" w14:paraId="0000001A">
            <w:pPr>
              <w:contextualSpacing w:val="0"/>
              <w:jc w:val="center"/>
              <w:rPr>
                <w:color w:val="000000"/>
              </w:rPr>
            </w:pPr>
            <w:r w:rsidDel="00000000" w:rsidR="00000000" w:rsidRPr="00000000">
              <w:rPr>
                <w:color w:val="000000"/>
                <w:rtl w:val="0"/>
              </w:rPr>
              <w:t xml:space="preserve">Very</w:t>
            </w:r>
          </w:p>
        </w:tc>
        <w:tc>
          <w:tcPr/>
          <w:p w:rsidR="00000000" w:rsidDel="00000000" w:rsidP="00000000" w:rsidRDefault="00000000" w:rsidRPr="00000000" w14:paraId="0000001B">
            <w:pPr>
              <w:contextualSpacing w:val="0"/>
              <w:jc w:val="center"/>
              <w:rPr>
                <w:color w:val="000000"/>
              </w:rPr>
            </w:pPr>
            <w:r w:rsidDel="00000000" w:rsidR="00000000" w:rsidRPr="00000000">
              <w:rPr>
                <w:color w:val="000000"/>
                <w:rtl w:val="0"/>
              </w:rPr>
              <w:t xml:space="preserve">Seriously</w:t>
            </w:r>
          </w:p>
        </w:tc>
      </w:tr>
      <w:tr>
        <w:tc>
          <w:tcPr/>
          <w:p w:rsidR="00000000" w:rsidDel="00000000" w:rsidP="00000000" w:rsidRDefault="00000000" w:rsidRPr="00000000" w14:paraId="0000001C">
            <w:pPr>
              <w:contextualSpacing w:val="0"/>
              <w:jc w:val="center"/>
              <w:rPr>
                <w:color w:val="000000"/>
              </w:rPr>
            </w:pPr>
            <w:r w:rsidDel="00000000" w:rsidR="00000000" w:rsidRPr="00000000">
              <w:rPr>
                <w:color w:val="000000"/>
                <w:rtl w:val="0"/>
              </w:rPr>
              <w:t xml:space="preserve">5</w:t>
            </w:r>
          </w:p>
        </w:tc>
        <w:tc>
          <w:tcPr/>
          <w:p w:rsidR="00000000" w:rsidDel="00000000" w:rsidP="00000000" w:rsidRDefault="00000000" w:rsidRPr="00000000" w14:paraId="0000001D">
            <w:pPr>
              <w:contextualSpacing w:val="0"/>
              <w:jc w:val="center"/>
              <w:rPr>
                <w:color w:val="000000"/>
              </w:rPr>
            </w:pPr>
            <w:r w:rsidDel="00000000" w:rsidR="00000000" w:rsidRPr="00000000">
              <w:rPr>
                <w:color w:val="000000"/>
                <w:rtl w:val="0"/>
              </w:rPr>
              <w:t xml:space="preserve">13</w:t>
            </w:r>
          </w:p>
        </w:tc>
        <w:tc>
          <w:tcPr/>
          <w:p w:rsidR="00000000" w:rsidDel="00000000" w:rsidP="00000000" w:rsidRDefault="00000000" w:rsidRPr="00000000" w14:paraId="0000001E">
            <w:pPr>
              <w:contextualSpacing w:val="0"/>
              <w:jc w:val="center"/>
              <w:rPr>
                <w:color w:val="000000"/>
              </w:rPr>
            </w:pPr>
            <w:r w:rsidDel="00000000" w:rsidR="00000000" w:rsidRPr="00000000">
              <w:rPr>
                <w:color w:val="000000"/>
                <w:rtl w:val="0"/>
              </w:rPr>
              <w:t xml:space="preserve">37</w:t>
            </w:r>
          </w:p>
        </w:tc>
        <w:tc>
          <w:tcPr/>
          <w:p w:rsidR="00000000" w:rsidDel="00000000" w:rsidP="00000000" w:rsidRDefault="00000000" w:rsidRPr="00000000" w14:paraId="0000001F">
            <w:pPr>
              <w:contextualSpacing w:val="0"/>
              <w:jc w:val="center"/>
              <w:rPr>
                <w:color w:val="000000"/>
              </w:rPr>
            </w:pPr>
            <w:r w:rsidDel="00000000" w:rsidR="00000000" w:rsidRPr="00000000">
              <w:rPr>
                <w:color w:val="000000"/>
                <w:rtl w:val="0"/>
              </w:rPr>
              <w:t xml:space="preserve">30</w:t>
            </w:r>
          </w:p>
        </w:tc>
        <w:tc>
          <w:tcPr/>
          <w:p w:rsidR="00000000" w:rsidDel="00000000" w:rsidP="00000000" w:rsidRDefault="00000000" w:rsidRPr="00000000" w14:paraId="00000020">
            <w:pPr>
              <w:contextualSpacing w:val="0"/>
              <w:jc w:val="center"/>
              <w:rPr>
                <w:color w:val="000000"/>
              </w:rPr>
            </w:pPr>
            <w:r w:rsidDel="00000000" w:rsidR="00000000" w:rsidRPr="00000000">
              <w:rPr>
                <w:color w:val="000000"/>
                <w:rtl w:val="0"/>
              </w:rPr>
              <w:t xml:space="preserve">15</w:t>
            </w:r>
          </w:p>
        </w:tc>
      </w:tr>
    </w:tbl>
    <w:p w:rsidR="00000000" w:rsidDel="00000000" w:rsidP="00000000" w:rsidRDefault="00000000" w:rsidRPr="00000000" w14:paraId="00000021">
      <w:pPr>
        <w:contextualSpacing w:val="0"/>
        <w:jc w:val="center"/>
        <w:rPr>
          <w:color w:val="00000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