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B9" w:rsidRPr="006300B9" w:rsidRDefault="006300B9" w:rsidP="00AB7C5A">
      <w:pPr>
        <w:jc w:val="center"/>
        <w:rPr>
          <w:rFonts w:ascii="DokChampa" w:hAnsi="DokChampa" w:cs="DokChampa"/>
          <w:b/>
          <w:sz w:val="36"/>
        </w:rPr>
      </w:pPr>
      <w:r w:rsidRPr="006300B9">
        <w:rPr>
          <w:rFonts w:ascii="DokChampa" w:hAnsi="DokChampa" w:cs="DokChampa"/>
          <w:b/>
          <w:sz w:val="36"/>
        </w:rPr>
        <w:t xml:space="preserve">HONORS ENGLISH I </w:t>
      </w:r>
      <w:r w:rsidR="001567D3">
        <w:rPr>
          <w:rFonts w:ascii="DokChampa" w:hAnsi="DokChampa" w:cs="DokChampa"/>
          <w:b/>
          <w:sz w:val="36"/>
        </w:rPr>
        <w:t>“</w:t>
      </w:r>
      <w:r w:rsidRPr="006300B9">
        <w:rPr>
          <w:rFonts w:ascii="DokChampa" w:hAnsi="DokChampa" w:cs="DokChampa"/>
          <w:b/>
          <w:sz w:val="36"/>
        </w:rPr>
        <w:t>TO KILL A MOCKINGBIRD</w:t>
      </w:r>
      <w:r w:rsidR="001567D3">
        <w:rPr>
          <w:rFonts w:ascii="DokChampa" w:hAnsi="DokChampa" w:cs="DokChampa"/>
          <w:b/>
          <w:sz w:val="36"/>
        </w:rPr>
        <w:t>” SCHEDULE</w:t>
      </w:r>
    </w:p>
    <w:p w:rsidR="006300B9" w:rsidRPr="006300B9" w:rsidRDefault="006300B9">
      <w:pPr>
        <w:rPr>
          <w:rFonts w:ascii="DokChampa" w:hAnsi="DokChampa" w:cs="DokChampa"/>
          <w:sz w:val="24"/>
        </w:rPr>
      </w:pPr>
      <w:r w:rsidRPr="006300B9">
        <w:rPr>
          <w:rFonts w:ascii="DokChampa" w:hAnsi="DokChampa" w:cs="DokChampa"/>
          <w:sz w:val="24"/>
        </w:rPr>
        <w:t>These chapter need to be read by the following class periods:</w:t>
      </w:r>
    </w:p>
    <w:p w:rsidR="00A435E0" w:rsidRDefault="00A435E0">
      <w:pPr>
        <w:rPr>
          <w:rFonts w:ascii="DokChampa" w:hAnsi="DokChampa" w:cs="DokChampa"/>
          <w:sz w:val="24"/>
        </w:rPr>
      </w:pPr>
      <w:bookmarkStart w:id="0" w:name="_GoBack"/>
      <w:bookmarkEnd w:id="0"/>
    </w:p>
    <w:tbl>
      <w:tblPr>
        <w:tblStyle w:val="TableGrid"/>
        <w:tblW w:w="10476" w:type="dxa"/>
        <w:tblLook w:val="04A0" w:firstRow="1" w:lastRow="0" w:firstColumn="1" w:lastColumn="0" w:noHBand="0" w:noVBand="1"/>
      </w:tblPr>
      <w:tblGrid>
        <w:gridCol w:w="1324"/>
        <w:gridCol w:w="2418"/>
        <w:gridCol w:w="3684"/>
        <w:gridCol w:w="3050"/>
      </w:tblGrid>
      <w:tr w:rsidR="00A435E0" w:rsidTr="00E237BF">
        <w:tc>
          <w:tcPr>
            <w:tcW w:w="1324" w:type="dxa"/>
          </w:tcPr>
          <w:p w:rsidR="00A435E0" w:rsidRDefault="00A435E0">
            <w:pPr>
              <w:rPr>
                <w:rFonts w:ascii="DokChampa" w:hAnsi="DokChampa" w:cs="DokChampa"/>
                <w:sz w:val="24"/>
              </w:rPr>
            </w:pPr>
            <w:r>
              <w:rPr>
                <w:rFonts w:ascii="DokChampa" w:hAnsi="DokChampa" w:cs="DokChampa"/>
                <w:sz w:val="24"/>
              </w:rPr>
              <w:t>Chapters</w:t>
            </w:r>
          </w:p>
        </w:tc>
        <w:tc>
          <w:tcPr>
            <w:tcW w:w="2418" w:type="dxa"/>
          </w:tcPr>
          <w:p w:rsidR="00A435E0" w:rsidRDefault="00A435E0" w:rsidP="00A435E0">
            <w:pPr>
              <w:rPr>
                <w:rFonts w:ascii="DokChampa" w:hAnsi="DokChampa" w:cs="DokChampa"/>
                <w:sz w:val="24"/>
              </w:rPr>
            </w:pPr>
            <w:r>
              <w:rPr>
                <w:rFonts w:ascii="DokChampa" w:hAnsi="DokChampa" w:cs="DokChampa"/>
                <w:sz w:val="24"/>
              </w:rPr>
              <w:t>Assessment Date</w:t>
            </w:r>
          </w:p>
        </w:tc>
        <w:tc>
          <w:tcPr>
            <w:tcW w:w="3684" w:type="dxa"/>
          </w:tcPr>
          <w:p w:rsidR="00A435E0" w:rsidRDefault="00A435E0" w:rsidP="00A435E0">
            <w:pPr>
              <w:rPr>
                <w:rFonts w:ascii="DokChampa" w:hAnsi="DokChampa" w:cs="DokChampa"/>
                <w:sz w:val="24"/>
              </w:rPr>
            </w:pPr>
            <w:r>
              <w:rPr>
                <w:rFonts w:ascii="DokChampa" w:hAnsi="DokChampa" w:cs="DokChampa"/>
                <w:sz w:val="24"/>
              </w:rPr>
              <w:t>Assessment Type</w:t>
            </w:r>
          </w:p>
        </w:tc>
        <w:tc>
          <w:tcPr>
            <w:tcW w:w="3050" w:type="dxa"/>
          </w:tcPr>
          <w:p w:rsidR="00A435E0" w:rsidRDefault="00A435E0" w:rsidP="00A435E0">
            <w:pPr>
              <w:rPr>
                <w:rFonts w:ascii="DokChampa" w:hAnsi="DokChampa" w:cs="DokChampa"/>
                <w:sz w:val="24"/>
              </w:rPr>
            </w:pPr>
            <w:r>
              <w:rPr>
                <w:rFonts w:ascii="DokChampa" w:hAnsi="DokChampa" w:cs="DokChampa"/>
                <w:sz w:val="24"/>
              </w:rPr>
              <w:t>Must be turned in by Assessment date</w:t>
            </w:r>
          </w:p>
        </w:tc>
      </w:tr>
      <w:tr w:rsidR="00A435E0" w:rsidTr="00E237BF">
        <w:tc>
          <w:tcPr>
            <w:tcW w:w="1324" w:type="dxa"/>
          </w:tcPr>
          <w:p w:rsidR="00A435E0" w:rsidRDefault="00A435E0">
            <w:pPr>
              <w:rPr>
                <w:rFonts w:ascii="DokChampa" w:hAnsi="DokChampa" w:cs="DokChampa"/>
                <w:sz w:val="24"/>
              </w:rPr>
            </w:pPr>
            <w:r>
              <w:rPr>
                <w:rFonts w:ascii="DokChampa" w:hAnsi="DokChampa" w:cs="DokChampa"/>
                <w:sz w:val="24"/>
              </w:rPr>
              <w:t>1-8</w:t>
            </w:r>
          </w:p>
        </w:tc>
        <w:tc>
          <w:tcPr>
            <w:tcW w:w="2418" w:type="dxa"/>
          </w:tcPr>
          <w:p w:rsidR="00A435E0" w:rsidRDefault="00A435E0" w:rsidP="007A54FD">
            <w:pPr>
              <w:rPr>
                <w:rFonts w:ascii="DokChampa" w:hAnsi="DokChampa" w:cs="DokChampa"/>
                <w:sz w:val="24"/>
              </w:rPr>
            </w:pPr>
            <w:r>
              <w:rPr>
                <w:rFonts w:ascii="DokChampa" w:hAnsi="DokChampa" w:cs="DokChampa"/>
                <w:sz w:val="24"/>
              </w:rPr>
              <w:t xml:space="preserve">Monday, </w:t>
            </w:r>
            <w:r w:rsidR="007A54FD">
              <w:rPr>
                <w:rFonts w:ascii="DokChampa" w:hAnsi="DokChampa" w:cs="DokChampa"/>
                <w:sz w:val="24"/>
              </w:rPr>
              <w:t>October 2</w:t>
            </w:r>
          </w:p>
        </w:tc>
        <w:tc>
          <w:tcPr>
            <w:tcW w:w="3684" w:type="dxa"/>
          </w:tcPr>
          <w:p w:rsidR="00A435E0" w:rsidRDefault="00A435E0">
            <w:pPr>
              <w:rPr>
                <w:rFonts w:ascii="DokChampa" w:hAnsi="DokChampa" w:cs="DokChampa"/>
                <w:sz w:val="24"/>
              </w:rPr>
            </w:pPr>
            <w:r>
              <w:rPr>
                <w:rFonts w:ascii="DokChampa" w:hAnsi="DokChampa" w:cs="DokChampa"/>
                <w:sz w:val="24"/>
              </w:rPr>
              <w:t>Quiz</w:t>
            </w:r>
          </w:p>
        </w:tc>
        <w:tc>
          <w:tcPr>
            <w:tcW w:w="3050" w:type="dxa"/>
          </w:tcPr>
          <w:p w:rsidR="00A435E0" w:rsidRDefault="00A435E0">
            <w:pPr>
              <w:rPr>
                <w:rFonts w:ascii="DokChampa" w:hAnsi="DokChampa" w:cs="DokChampa"/>
                <w:sz w:val="24"/>
              </w:rPr>
            </w:pPr>
            <w:r>
              <w:rPr>
                <w:rFonts w:ascii="DokChampa" w:hAnsi="DokChampa" w:cs="DokChampa"/>
                <w:sz w:val="24"/>
              </w:rPr>
              <w:t>Chapters 1-4 chart</w:t>
            </w:r>
          </w:p>
          <w:p w:rsidR="00A435E0" w:rsidRDefault="00A435E0">
            <w:pPr>
              <w:rPr>
                <w:rFonts w:ascii="DokChampa" w:hAnsi="DokChampa" w:cs="DokChampa"/>
                <w:sz w:val="24"/>
              </w:rPr>
            </w:pPr>
            <w:r>
              <w:rPr>
                <w:rFonts w:ascii="DokChampa" w:hAnsi="DokChampa" w:cs="DokChampa"/>
                <w:sz w:val="24"/>
              </w:rPr>
              <w:t>Chapters 5-8 chart</w:t>
            </w:r>
          </w:p>
        </w:tc>
      </w:tr>
      <w:tr w:rsidR="00A435E0" w:rsidTr="00E237BF">
        <w:trPr>
          <w:trHeight w:val="674"/>
        </w:trPr>
        <w:tc>
          <w:tcPr>
            <w:tcW w:w="1324" w:type="dxa"/>
          </w:tcPr>
          <w:p w:rsidR="00A435E0" w:rsidRDefault="00A435E0">
            <w:pPr>
              <w:rPr>
                <w:rFonts w:ascii="DokChampa" w:hAnsi="DokChampa" w:cs="DokChampa"/>
                <w:sz w:val="24"/>
              </w:rPr>
            </w:pPr>
            <w:r>
              <w:rPr>
                <w:rFonts w:ascii="DokChampa" w:hAnsi="DokChampa" w:cs="DokChampa"/>
                <w:sz w:val="24"/>
              </w:rPr>
              <w:t>9-15</w:t>
            </w:r>
          </w:p>
        </w:tc>
        <w:tc>
          <w:tcPr>
            <w:tcW w:w="2418" w:type="dxa"/>
          </w:tcPr>
          <w:p w:rsidR="00A435E0" w:rsidRDefault="007A54FD" w:rsidP="007A54FD">
            <w:pPr>
              <w:rPr>
                <w:rFonts w:ascii="DokChampa" w:hAnsi="DokChampa" w:cs="DokChampa"/>
                <w:sz w:val="24"/>
              </w:rPr>
            </w:pPr>
            <w:r>
              <w:rPr>
                <w:rFonts w:ascii="DokChampa" w:hAnsi="DokChampa" w:cs="DokChampa"/>
                <w:sz w:val="24"/>
              </w:rPr>
              <w:t>Tuesday,  October 10</w:t>
            </w:r>
          </w:p>
        </w:tc>
        <w:tc>
          <w:tcPr>
            <w:tcW w:w="3684" w:type="dxa"/>
          </w:tcPr>
          <w:p w:rsidR="00A435E0" w:rsidRDefault="00A435E0">
            <w:pPr>
              <w:rPr>
                <w:rFonts w:ascii="DokChampa" w:hAnsi="DokChampa" w:cs="DokChampa"/>
                <w:sz w:val="24"/>
              </w:rPr>
            </w:pPr>
            <w:r>
              <w:rPr>
                <w:rFonts w:ascii="DokChampa" w:hAnsi="DokChampa" w:cs="DokChampa"/>
                <w:sz w:val="24"/>
              </w:rPr>
              <w:t>Socratic Seminar</w:t>
            </w:r>
          </w:p>
        </w:tc>
        <w:tc>
          <w:tcPr>
            <w:tcW w:w="3050" w:type="dxa"/>
          </w:tcPr>
          <w:p w:rsidR="00A435E0" w:rsidRDefault="00A435E0">
            <w:pPr>
              <w:rPr>
                <w:rFonts w:ascii="DokChampa" w:hAnsi="DokChampa" w:cs="DokChampa"/>
                <w:sz w:val="24"/>
              </w:rPr>
            </w:pPr>
            <w:r>
              <w:rPr>
                <w:rFonts w:ascii="DokChampa" w:hAnsi="DokChampa" w:cs="DokChampa"/>
                <w:sz w:val="24"/>
              </w:rPr>
              <w:t>Chapters 9-11 chart</w:t>
            </w:r>
          </w:p>
          <w:p w:rsidR="00A435E0" w:rsidRDefault="00A435E0">
            <w:pPr>
              <w:rPr>
                <w:rFonts w:ascii="DokChampa" w:hAnsi="DokChampa" w:cs="DokChampa"/>
                <w:sz w:val="24"/>
              </w:rPr>
            </w:pPr>
            <w:r>
              <w:rPr>
                <w:rFonts w:ascii="DokChampa" w:hAnsi="DokChampa" w:cs="DokChampa"/>
                <w:sz w:val="24"/>
              </w:rPr>
              <w:t>Chapters 12-15 chart</w:t>
            </w:r>
          </w:p>
        </w:tc>
      </w:tr>
      <w:tr w:rsidR="00A435E0" w:rsidTr="00E237BF">
        <w:tc>
          <w:tcPr>
            <w:tcW w:w="1324" w:type="dxa"/>
          </w:tcPr>
          <w:p w:rsidR="00A435E0" w:rsidRDefault="00A435E0">
            <w:pPr>
              <w:rPr>
                <w:rFonts w:ascii="DokChampa" w:hAnsi="DokChampa" w:cs="DokChampa"/>
                <w:sz w:val="24"/>
              </w:rPr>
            </w:pPr>
            <w:r>
              <w:rPr>
                <w:rFonts w:ascii="DokChampa" w:hAnsi="DokChampa" w:cs="DokChampa"/>
                <w:sz w:val="24"/>
              </w:rPr>
              <w:t>16-23</w:t>
            </w:r>
          </w:p>
        </w:tc>
        <w:tc>
          <w:tcPr>
            <w:tcW w:w="2418" w:type="dxa"/>
          </w:tcPr>
          <w:p w:rsidR="00A435E0" w:rsidRDefault="007A54FD">
            <w:pPr>
              <w:rPr>
                <w:rFonts w:ascii="DokChampa" w:hAnsi="DokChampa" w:cs="DokChampa"/>
                <w:sz w:val="24"/>
              </w:rPr>
            </w:pPr>
            <w:r>
              <w:rPr>
                <w:rFonts w:ascii="DokChampa" w:hAnsi="DokChampa" w:cs="DokChampa"/>
                <w:sz w:val="24"/>
              </w:rPr>
              <w:t>Tuesday, October 17</w:t>
            </w:r>
          </w:p>
        </w:tc>
        <w:tc>
          <w:tcPr>
            <w:tcW w:w="3684" w:type="dxa"/>
          </w:tcPr>
          <w:p w:rsidR="00A435E0" w:rsidRDefault="00A435E0">
            <w:pPr>
              <w:rPr>
                <w:rFonts w:ascii="DokChampa" w:hAnsi="DokChampa" w:cs="DokChampa"/>
                <w:sz w:val="24"/>
              </w:rPr>
            </w:pPr>
            <w:r>
              <w:rPr>
                <w:rFonts w:ascii="DokChampa" w:hAnsi="DokChampa" w:cs="DokChampa"/>
                <w:sz w:val="24"/>
              </w:rPr>
              <w:t>Quiz</w:t>
            </w:r>
          </w:p>
        </w:tc>
        <w:tc>
          <w:tcPr>
            <w:tcW w:w="3050" w:type="dxa"/>
          </w:tcPr>
          <w:p w:rsidR="00A435E0" w:rsidRDefault="00A435E0">
            <w:pPr>
              <w:rPr>
                <w:rFonts w:ascii="DokChampa" w:hAnsi="DokChampa" w:cs="DokChampa"/>
                <w:sz w:val="24"/>
              </w:rPr>
            </w:pPr>
            <w:r>
              <w:rPr>
                <w:rFonts w:ascii="DokChampa" w:hAnsi="DokChampa" w:cs="DokChampa"/>
                <w:sz w:val="24"/>
              </w:rPr>
              <w:t>Chapters 16-19 chart</w:t>
            </w:r>
          </w:p>
          <w:p w:rsidR="00A435E0" w:rsidRDefault="00A435E0">
            <w:pPr>
              <w:rPr>
                <w:rFonts w:ascii="DokChampa" w:hAnsi="DokChampa" w:cs="DokChampa"/>
                <w:sz w:val="24"/>
              </w:rPr>
            </w:pPr>
            <w:r>
              <w:rPr>
                <w:rFonts w:ascii="DokChampa" w:hAnsi="DokChampa" w:cs="DokChampa"/>
                <w:sz w:val="24"/>
              </w:rPr>
              <w:t>Chapters 19-23 chart</w:t>
            </w:r>
          </w:p>
        </w:tc>
      </w:tr>
      <w:tr w:rsidR="00A435E0" w:rsidTr="00E237BF">
        <w:tc>
          <w:tcPr>
            <w:tcW w:w="1324" w:type="dxa"/>
          </w:tcPr>
          <w:p w:rsidR="00A435E0" w:rsidRDefault="00A435E0">
            <w:pPr>
              <w:rPr>
                <w:rFonts w:ascii="DokChampa" w:hAnsi="DokChampa" w:cs="DokChampa"/>
                <w:sz w:val="24"/>
              </w:rPr>
            </w:pPr>
            <w:r>
              <w:rPr>
                <w:rFonts w:ascii="DokChampa" w:hAnsi="DokChampa" w:cs="DokChampa"/>
                <w:sz w:val="24"/>
              </w:rPr>
              <w:t>24-31</w:t>
            </w:r>
          </w:p>
        </w:tc>
        <w:tc>
          <w:tcPr>
            <w:tcW w:w="2418" w:type="dxa"/>
          </w:tcPr>
          <w:p w:rsidR="00A435E0" w:rsidRDefault="007A54FD" w:rsidP="007A54FD">
            <w:pPr>
              <w:rPr>
                <w:rFonts w:ascii="DokChampa" w:hAnsi="DokChampa" w:cs="DokChampa"/>
                <w:sz w:val="24"/>
              </w:rPr>
            </w:pPr>
            <w:r>
              <w:rPr>
                <w:rFonts w:ascii="DokChampa" w:hAnsi="DokChampa" w:cs="DokChampa"/>
                <w:sz w:val="24"/>
              </w:rPr>
              <w:t>Monday, October 23</w:t>
            </w:r>
          </w:p>
        </w:tc>
        <w:tc>
          <w:tcPr>
            <w:tcW w:w="3684" w:type="dxa"/>
          </w:tcPr>
          <w:p w:rsidR="00A435E0" w:rsidRDefault="00A435E0">
            <w:pPr>
              <w:rPr>
                <w:rFonts w:ascii="DokChampa" w:hAnsi="DokChampa" w:cs="DokChampa"/>
                <w:sz w:val="24"/>
              </w:rPr>
            </w:pPr>
            <w:r>
              <w:rPr>
                <w:rFonts w:ascii="DokChampa" w:hAnsi="DokChampa" w:cs="DokChampa"/>
                <w:sz w:val="24"/>
              </w:rPr>
              <w:t>Socratic Seminar</w:t>
            </w:r>
          </w:p>
        </w:tc>
        <w:tc>
          <w:tcPr>
            <w:tcW w:w="3050" w:type="dxa"/>
          </w:tcPr>
          <w:p w:rsidR="00A435E0" w:rsidRDefault="00A435E0">
            <w:pPr>
              <w:rPr>
                <w:rFonts w:ascii="DokChampa" w:hAnsi="DokChampa" w:cs="DokChampa"/>
                <w:sz w:val="24"/>
              </w:rPr>
            </w:pPr>
            <w:r>
              <w:rPr>
                <w:rFonts w:ascii="DokChampa" w:hAnsi="DokChampa" w:cs="DokChampa"/>
                <w:sz w:val="24"/>
              </w:rPr>
              <w:t>Chapters 24-</w:t>
            </w:r>
            <w:r w:rsidR="00E237BF">
              <w:rPr>
                <w:rFonts w:ascii="DokChampa" w:hAnsi="DokChampa" w:cs="DokChampa"/>
                <w:sz w:val="24"/>
              </w:rPr>
              <w:t>27</w:t>
            </w:r>
            <w:r>
              <w:rPr>
                <w:rFonts w:ascii="DokChampa" w:hAnsi="DokChampa" w:cs="DokChampa"/>
                <w:sz w:val="24"/>
              </w:rPr>
              <w:t xml:space="preserve"> chart</w:t>
            </w:r>
          </w:p>
          <w:p w:rsidR="00A435E0" w:rsidRDefault="00A435E0">
            <w:pPr>
              <w:rPr>
                <w:rFonts w:ascii="DokChampa" w:hAnsi="DokChampa" w:cs="DokChampa"/>
                <w:sz w:val="24"/>
              </w:rPr>
            </w:pPr>
            <w:r>
              <w:rPr>
                <w:rFonts w:ascii="DokChampa" w:hAnsi="DokChampa" w:cs="DokChampa"/>
                <w:sz w:val="24"/>
              </w:rPr>
              <w:t xml:space="preserve">Chapters </w:t>
            </w:r>
            <w:r w:rsidR="00E237BF">
              <w:rPr>
                <w:rFonts w:ascii="DokChampa" w:hAnsi="DokChampa" w:cs="DokChampa"/>
                <w:sz w:val="24"/>
              </w:rPr>
              <w:t>28</w:t>
            </w:r>
            <w:r>
              <w:rPr>
                <w:rFonts w:ascii="DokChampa" w:hAnsi="DokChampa" w:cs="DokChampa"/>
                <w:sz w:val="24"/>
              </w:rPr>
              <w:t>-31 chart</w:t>
            </w:r>
          </w:p>
        </w:tc>
      </w:tr>
      <w:tr w:rsidR="00A435E0" w:rsidTr="00E237BF">
        <w:tc>
          <w:tcPr>
            <w:tcW w:w="1324" w:type="dxa"/>
          </w:tcPr>
          <w:p w:rsidR="00A435E0" w:rsidRDefault="00A435E0">
            <w:pPr>
              <w:rPr>
                <w:rFonts w:ascii="DokChampa" w:hAnsi="DokChampa" w:cs="DokChampa"/>
                <w:sz w:val="24"/>
              </w:rPr>
            </w:pPr>
            <w:r>
              <w:rPr>
                <w:rFonts w:ascii="DokChampa" w:hAnsi="DokChampa" w:cs="DokChampa"/>
                <w:sz w:val="24"/>
              </w:rPr>
              <w:t xml:space="preserve">ALL </w:t>
            </w:r>
          </w:p>
        </w:tc>
        <w:tc>
          <w:tcPr>
            <w:tcW w:w="2418" w:type="dxa"/>
          </w:tcPr>
          <w:p w:rsidR="00A435E0" w:rsidRDefault="007A54FD">
            <w:pPr>
              <w:rPr>
                <w:rFonts w:ascii="DokChampa" w:hAnsi="DokChampa" w:cs="DokChampa"/>
                <w:sz w:val="24"/>
              </w:rPr>
            </w:pPr>
            <w:r>
              <w:rPr>
                <w:rFonts w:ascii="DokChampa" w:hAnsi="DokChampa" w:cs="DokChampa"/>
                <w:sz w:val="24"/>
              </w:rPr>
              <w:t>Thursday, October 26</w:t>
            </w:r>
          </w:p>
        </w:tc>
        <w:tc>
          <w:tcPr>
            <w:tcW w:w="3684" w:type="dxa"/>
          </w:tcPr>
          <w:p w:rsidR="00A435E0" w:rsidRDefault="00A435E0" w:rsidP="00A435E0">
            <w:pPr>
              <w:rPr>
                <w:rFonts w:ascii="DokChampa" w:hAnsi="DokChampa" w:cs="DokChampa"/>
                <w:sz w:val="24"/>
              </w:rPr>
            </w:pPr>
            <w:r>
              <w:rPr>
                <w:rFonts w:ascii="DokChampa" w:hAnsi="DokChampa" w:cs="DokChampa"/>
                <w:sz w:val="24"/>
              </w:rPr>
              <w:t>Aunt Alexandra’s Tea Party (TEST)</w:t>
            </w:r>
          </w:p>
        </w:tc>
        <w:tc>
          <w:tcPr>
            <w:tcW w:w="3050" w:type="dxa"/>
          </w:tcPr>
          <w:p w:rsidR="00A435E0" w:rsidRDefault="00A435E0">
            <w:pPr>
              <w:rPr>
                <w:rFonts w:ascii="DokChampa" w:hAnsi="DokChampa" w:cs="DokChampa"/>
                <w:sz w:val="24"/>
              </w:rPr>
            </w:pPr>
            <w:r>
              <w:rPr>
                <w:rFonts w:ascii="DokChampa" w:hAnsi="DokChampa" w:cs="DokChampa"/>
                <w:sz w:val="24"/>
              </w:rPr>
              <w:t>See AATP packet for all required aspects</w:t>
            </w:r>
          </w:p>
        </w:tc>
      </w:tr>
    </w:tbl>
    <w:p w:rsidR="001567D3" w:rsidRDefault="001567D3">
      <w:pPr>
        <w:rPr>
          <w:rFonts w:ascii="DokChampa" w:hAnsi="DokChampa" w:cs="DokChampa"/>
          <w:sz w:val="24"/>
        </w:rPr>
      </w:pPr>
    </w:p>
    <w:p w:rsidR="001567D3" w:rsidRDefault="006300B9" w:rsidP="00A435E0">
      <w:pPr>
        <w:rPr>
          <w:rFonts w:ascii="DokChampa" w:hAnsi="DokChampa" w:cs="DokChampa"/>
          <w:sz w:val="24"/>
        </w:rPr>
      </w:pPr>
      <w:r>
        <w:rPr>
          <w:rFonts w:ascii="DokChampa" w:hAnsi="DokChampa" w:cs="DokChampa"/>
          <w:sz w:val="24"/>
        </w:rPr>
        <w:t xml:space="preserve">All reading is expected to be done at home. A copy of the text is available on Ms. </w:t>
      </w:r>
      <w:proofErr w:type="spellStart"/>
      <w:r>
        <w:rPr>
          <w:rFonts w:ascii="DokChampa" w:hAnsi="DokChampa" w:cs="DokChampa"/>
          <w:sz w:val="24"/>
        </w:rPr>
        <w:t>Denstaedt’s</w:t>
      </w:r>
      <w:proofErr w:type="spellEnd"/>
      <w:r>
        <w:rPr>
          <w:rFonts w:ascii="DokChampa" w:hAnsi="DokChampa" w:cs="DokChampa"/>
          <w:sz w:val="24"/>
        </w:rPr>
        <w:t xml:space="preserve"> </w:t>
      </w:r>
    </w:p>
    <w:p w:rsidR="006300B9" w:rsidRPr="00BB0C5E" w:rsidRDefault="006300B9">
      <w:pPr>
        <w:rPr>
          <w:rFonts w:ascii="DokChampa" w:hAnsi="DokChampa" w:cs="DokChampa"/>
          <w:sz w:val="24"/>
        </w:rPr>
      </w:pPr>
    </w:p>
    <w:p w:rsidR="00BB0C5E" w:rsidRPr="00BB0C5E" w:rsidRDefault="00BB0C5E">
      <w:pPr>
        <w:rPr>
          <w:rFonts w:ascii="DokChampa" w:hAnsi="DokChampa" w:cs="DokChampa"/>
          <w:sz w:val="24"/>
          <w:szCs w:val="24"/>
        </w:rPr>
      </w:pPr>
      <w:r w:rsidRPr="00BB0C5E">
        <w:rPr>
          <w:rFonts w:ascii="DokChampa" w:hAnsi="DokChampa" w:cs="DokChampa"/>
          <w:sz w:val="24"/>
          <w:szCs w:val="24"/>
        </w:rPr>
        <w:t xml:space="preserve">You will be graded three different ways on your reading and understanding of the text. </w:t>
      </w:r>
    </w:p>
    <w:p w:rsidR="00BB0C5E" w:rsidRPr="00BB0C5E" w:rsidRDefault="00BB0C5E" w:rsidP="00BB0C5E">
      <w:pPr>
        <w:pStyle w:val="ListParagraph"/>
        <w:numPr>
          <w:ilvl w:val="0"/>
          <w:numId w:val="1"/>
        </w:numPr>
        <w:rPr>
          <w:rFonts w:ascii="DokChampa" w:hAnsi="DokChampa" w:cs="DokChampa"/>
          <w:sz w:val="24"/>
          <w:szCs w:val="24"/>
        </w:rPr>
      </w:pPr>
      <w:r w:rsidRPr="00BB0C5E">
        <w:rPr>
          <w:rFonts w:ascii="DokChampa" w:hAnsi="DokChampa" w:cs="DokChampa"/>
          <w:sz w:val="24"/>
          <w:szCs w:val="24"/>
        </w:rPr>
        <w:t>As you read, you are to be filling out charts noting key aspects of the text. Each chart covers several chapters. These are due on the day of the quiz for that section, however, you are able to turn them in early.</w:t>
      </w:r>
    </w:p>
    <w:p w:rsidR="00BB0C5E" w:rsidRPr="00BB0C5E" w:rsidRDefault="00BB0C5E" w:rsidP="00BB0C5E">
      <w:pPr>
        <w:pStyle w:val="ListParagraph"/>
        <w:numPr>
          <w:ilvl w:val="0"/>
          <w:numId w:val="1"/>
        </w:numPr>
        <w:rPr>
          <w:rFonts w:ascii="DokChampa" w:hAnsi="DokChampa" w:cs="DokChampa"/>
          <w:sz w:val="24"/>
          <w:szCs w:val="24"/>
        </w:rPr>
      </w:pPr>
      <w:r w:rsidRPr="00BB0C5E">
        <w:rPr>
          <w:rFonts w:ascii="DokChampa" w:hAnsi="DokChampa" w:cs="DokChampa"/>
          <w:sz w:val="24"/>
          <w:szCs w:val="24"/>
        </w:rPr>
        <w:t xml:space="preserve">After you read several chapters, you will have a quiz grade. This can come in the form of a normal quiz or a </w:t>
      </w:r>
      <w:r w:rsidR="007A54FD" w:rsidRPr="00BB0C5E">
        <w:rPr>
          <w:rFonts w:ascii="DokChampa" w:hAnsi="DokChampa" w:cs="DokChampa"/>
          <w:sz w:val="24"/>
          <w:szCs w:val="24"/>
        </w:rPr>
        <w:t>Socratic</w:t>
      </w:r>
      <w:r w:rsidR="007A54FD">
        <w:rPr>
          <w:rFonts w:ascii="DokChampa" w:hAnsi="DokChampa" w:cs="DokChampa"/>
          <w:sz w:val="24"/>
          <w:szCs w:val="24"/>
        </w:rPr>
        <w:t xml:space="preserve"> S</w:t>
      </w:r>
      <w:r w:rsidRPr="00BB0C5E">
        <w:rPr>
          <w:rFonts w:ascii="DokChampa" w:hAnsi="DokChampa" w:cs="DokChampa"/>
          <w:sz w:val="24"/>
          <w:szCs w:val="24"/>
        </w:rPr>
        <w:t>eminar. See above for more information.</w:t>
      </w:r>
    </w:p>
    <w:p w:rsidR="00BB0C5E" w:rsidRPr="00BB0C5E" w:rsidRDefault="00BB0C5E" w:rsidP="00BB0C5E">
      <w:pPr>
        <w:pStyle w:val="ListParagraph"/>
        <w:numPr>
          <w:ilvl w:val="0"/>
          <w:numId w:val="1"/>
        </w:numPr>
        <w:rPr>
          <w:rFonts w:ascii="DokChampa" w:hAnsi="DokChampa" w:cs="DokChampa"/>
          <w:sz w:val="24"/>
          <w:szCs w:val="24"/>
        </w:rPr>
      </w:pPr>
      <w:r w:rsidRPr="00BB0C5E">
        <w:rPr>
          <w:rFonts w:ascii="DokChampa" w:hAnsi="DokChampa" w:cs="DokChampa"/>
          <w:sz w:val="24"/>
          <w:szCs w:val="24"/>
        </w:rPr>
        <w:t xml:space="preserve">At the end of the text, you will be assessed on your understanding of the characters and the town by participating in Aunt Alexandra’s tea party. More information will be give about this the week of </w:t>
      </w:r>
      <w:r w:rsidR="007A54FD">
        <w:rPr>
          <w:rFonts w:ascii="DokChampa" w:hAnsi="DokChampa" w:cs="DokChampa"/>
          <w:sz w:val="24"/>
          <w:szCs w:val="24"/>
        </w:rPr>
        <w:t>October 16</w:t>
      </w:r>
      <w:r w:rsidR="007A54FD" w:rsidRPr="007A54FD">
        <w:rPr>
          <w:rFonts w:ascii="DokChampa" w:hAnsi="DokChampa" w:cs="DokChampa"/>
          <w:sz w:val="24"/>
          <w:szCs w:val="24"/>
          <w:vertAlign w:val="superscript"/>
        </w:rPr>
        <w:t>th</w:t>
      </w:r>
      <w:r w:rsidR="007A54FD">
        <w:rPr>
          <w:rFonts w:ascii="DokChampa" w:hAnsi="DokChampa" w:cs="DokChampa"/>
          <w:sz w:val="24"/>
          <w:szCs w:val="24"/>
        </w:rPr>
        <w:t xml:space="preserve">. </w:t>
      </w:r>
    </w:p>
    <w:p w:rsidR="006300B9" w:rsidRDefault="006300B9"/>
    <w:sectPr w:rsidR="006300B9" w:rsidSect="006300B9">
      <w:pgSz w:w="12240" w:h="15840"/>
      <w:pgMar w:top="990" w:right="90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okChampa">
    <w:panose1 w:val="020B0604020202020204"/>
    <w:charset w:val="00"/>
    <w:family w:val="swiss"/>
    <w:pitch w:val="variable"/>
    <w:sig w:usb0="03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45543F"/>
    <w:multiLevelType w:val="hybridMultilevel"/>
    <w:tmpl w:val="3626D7F8"/>
    <w:lvl w:ilvl="0" w:tplc="C944D70A">
      <w:start w:val="1"/>
      <w:numFmt w:val="decimal"/>
      <w:lvlText w:val="%1."/>
      <w:lvlJc w:val="left"/>
      <w:pPr>
        <w:ind w:left="720" w:hanging="360"/>
      </w:pPr>
      <w:rPr>
        <w:rFonts w:ascii="DokChampa" w:hAnsi="DokChampa" w:cs="DokChamp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B9"/>
    <w:rsid w:val="001567D3"/>
    <w:rsid w:val="0022004F"/>
    <w:rsid w:val="006300B9"/>
    <w:rsid w:val="006B3E15"/>
    <w:rsid w:val="007A54FD"/>
    <w:rsid w:val="00A435E0"/>
    <w:rsid w:val="00AB7C5A"/>
    <w:rsid w:val="00B43CB0"/>
    <w:rsid w:val="00BB0C5E"/>
    <w:rsid w:val="00BE1B67"/>
    <w:rsid w:val="00C948E0"/>
    <w:rsid w:val="00E2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22597-A63B-4649-8F4E-DD0054348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1B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B67"/>
    <w:rPr>
      <w:rFonts w:ascii="Segoe UI" w:hAnsi="Segoe UI" w:cs="Segoe UI"/>
      <w:sz w:val="18"/>
      <w:szCs w:val="18"/>
    </w:rPr>
  </w:style>
  <w:style w:type="table" w:styleId="TableGrid">
    <w:name w:val="Table Grid"/>
    <w:basedOn w:val="TableNormal"/>
    <w:uiPriority w:val="39"/>
    <w:rsid w:val="00A435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0C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Denstaedt, Lisa N.</dc:creator>
  <cp:keywords/>
  <dc:description/>
  <cp:lastModifiedBy>Denstaedt, Lisa N.</cp:lastModifiedBy>
  <cp:revision>6</cp:revision>
  <cp:lastPrinted>2017-09-21T16:06:00Z</cp:lastPrinted>
  <dcterms:created xsi:type="dcterms:W3CDTF">2016-01-28T13:43:00Z</dcterms:created>
  <dcterms:modified xsi:type="dcterms:W3CDTF">2017-09-21T16:07:00Z</dcterms:modified>
</cp:coreProperties>
</file>